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 2°  Básico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(forro rojo)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de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mm 100 hojas.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(forro celeste)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cuadriculado 100 hojas.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celeste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con nombre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(forro azul)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mm 100 hojas. 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(forro verde)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5mm 100 hojas.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(forro amarillo)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cuadriculado 5mm 100 hojas.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carpeta amarilla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 (forro ro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metalófono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cromático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notas (no de juguete)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quedan en sala)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matemáticas cuadriculado 100 hojas. (Forro blanco) Educación Tecnológica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croquis para artes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paquetes de papel lustre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pliego de papel kraft 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plasticina (12 colores)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frasco 250 ml, témpera cualquier color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10 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adhesivo en barra grande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sobre de goma eva 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mezclador de 6 espacios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cola fría escolar 250 grs tapa roja.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paquete palos de helado de colores.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paquete de bajalengua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block cartulina española de colores.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tizas de colores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jumbo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cinta de embalaje transparente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cinta de papel masking tape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cinta doble contacto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 : negro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4 plumones de pizarra: 2 negro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2 rojo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y 1 azul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de cartulina entretenida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15 láminas para termolaminar.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5 barras de silicona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Polera de cambio (polera pique del colegio)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(forro violeta)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.Niñas: Buzo, calzas y polera oficial del colegio (de largo bajo la cintura), zapatillas deportivas(no de lona)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en el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estuche marcados con el nombre y apellido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bicolor 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20 cm.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cojín personal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libreta de comunicaciones mediana, forro transparente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rPr/>
      </w:pPr>
      <w:r w:rsidDel="00000000" w:rsidR="00000000" w:rsidRPr="00000000">
        <w:rPr>
          <w:rtl w:val="0"/>
        </w:rPr>
        <w:t xml:space="preserve">2°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“Prudencia”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Verónica Prieto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Alfaguara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Akim Corre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Claude K. Dúbais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Loguez Ediciones.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Agua (docente entregará texto)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–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“Historia de un oso”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Antonia Herrera y Gabriel Osorio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Zig-Zag</w:t>
            </w:r>
          </w:p>
        </w:tc>
      </w:tr>
    </w:tbl>
    <w:p w:rsidR="00000000" w:rsidDel="00000000" w:rsidP="00000000" w:rsidRDefault="00000000" w:rsidRPr="00000000" w14:paraId="0000007F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NFEx8ZfBAJOnHYoVT8S81yYVQ==">CgMxLjA4AHIhMU8tZ2tfNHpyMUNYTjFxWFdvSE1ZRFBuM0RxLUNuaE1l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